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17" w:rsidRDefault="002F131C" w:rsidP="00A23D5D">
      <w:pPr>
        <w:jc w:val="center"/>
      </w:pPr>
      <w:r>
        <w:rPr>
          <w:noProof/>
        </w:rPr>
        <w:drawing>
          <wp:inline distT="0" distB="0" distL="0" distR="0" wp14:anchorId="760BB313" wp14:editId="39E1D4CB">
            <wp:extent cx="2019632" cy="68381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422" cy="686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33D5" w:rsidRPr="0035663C" w:rsidRDefault="002F131C" w:rsidP="00493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63C">
        <w:rPr>
          <w:rFonts w:ascii="Times New Roman" w:hAnsi="Times New Roman" w:cs="Times New Roman"/>
          <w:b/>
          <w:sz w:val="28"/>
          <w:szCs w:val="28"/>
        </w:rPr>
        <w:t>SacValley MedShare Policy</w:t>
      </w:r>
      <w:r w:rsidR="004933D5" w:rsidRPr="00356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63C">
        <w:rPr>
          <w:rFonts w:ascii="Times New Roman" w:hAnsi="Times New Roman" w:cs="Times New Roman"/>
          <w:b/>
          <w:sz w:val="28"/>
          <w:szCs w:val="28"/>
        </w:rPr>
        <w:t>Acknowledgement</w:t>
      </w:r>
    </w:p>
    <w:p w:rsidR="004933D5" w:rsidRDefault="004933D5" w:rsidP="00A23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63C">
        <w:rPr>
          <w:rFonts w:ascii="Times New Roman" w:hAnsi="Times New Roman" w:cs="Times New Roman"/>
          <w:b/>
          <w:sz w:val="28"/>
          <w:szCs w:val="28"/>
        </w:rPr>
        <w:t xml:space="preserve">I have read and understand </w:t>
      </w:r>
      <w:r w:rsidR="003C748E" w:rsidRPr="0035663C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066161">
        <w:rPr>
          <w:rFonts w:ascii="Times New Roman" w:hAnsi="Times New Roman" w:cs="Times New Roman"/>
          <w:b/>
          <w:sz w:val="28"/>
          <w:szCs w:val="28"/>
        </w:rPr>
        <w:t>policies</w:t>
      </w:r>
      <w:r w:rsidRPr="0035663C">
        <w:rPr>
          <w:rFonts w:ascii="Times New Roman" w:hAnsi="Times New Roman" w:cs="Times New Roman"/>
          <w:b/>
          <w:sz w:val="28"/>
          <w:szCs w:val="28"/>
        </w:rPr>
        <w:t xml:space="preserve"> identified</w:t>
      </w:r>
      <w:r w:rsidR="00066161">
        <w:rPr>
          <w:rFonts w:ascii="Times New Roman" w:hAnsi="Times New Roman" w:cs="Times New Roman"/>
          <w:b/>
          <w:sz w:val="28"/>
          <w:szCs w:val="28"/>
        </w:rPr>
        <w:t xml:space="preserve"> below</w:t>
      </w:r>
      <w:r w:rsidRPr="0035663C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066161" w:rsidRDefault="00066161" w:rsidP="00A23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161" w:rsidRPr="0035663C" w:rsidRDefault="00066161" w:rsidP="00C16309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__________________________     Date Signed: ___________</w:t>
      </w:r>
    </w:p>
    <w:p w:rsidR="00066161" w:rsidRPr="0035663C" w:rsidRDefault="00066161" w:rsidP="00C16309">
      <w:pPr>
        <w:spacing w:before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6161">
        <w:rPr>
          <w:rFonts w:ascii="Times New Roman" w:hAnsi="Times New Roman" w:cs="Times New Roman"/>
          <w:b/>
          <w:sz w:val="28"/>
          <w:szCs w:val="28"/>
        </w:rPr>
        <w:t>Signature: ___________________________________________________</w:t>
      </w:r>
      <w:r w:rsidR="00C16309">
        <w:rPr>
          <w:rFonts w:ascii="Times New Roman" w:hAnsi="Times New Roman" w:cs="Times New Roman"/>
          <w:b/>
          <w:sz w:val="28"/>
          <w:szCs w:val="28"/>
        </w:rPr>
        <w:tab/>
      </w:r>
    </w:p>
    <w:p w:rsidR="00A23D5D" w:rsidRDefault="00066161" w:rsidP="00066161">
      <w:pPr>
        <w:tabs>
          <w:tab w:val="left" w:pos="6270"/>
        </w:tabs>
      </w:pPr>
      <w:r>
        <w:tab/>
      </w:r>
    </w:p>
    <w:tbl>
      <w:tblPr>
        <w:tblStyle w:val="TableGrid"/>
        <w:tblW w:w="10890" w:type="dxa"/>
        <w:tblInd w:w="18" w:type="dxa"/>
        <w:tblLook w:val="04A0" w:firstRow="1" w:lastRow="0" w:firstColumn="1" w:lastColumn="0" w:noHBand="0" w:noVBand="1"/>
      </w:tblPr>
      <w:tblGrid>
        <w:gridCol w:w="1440"/>
        <w:gridCol w:w="8100"/>
        <w:gridCol w:w="1350"/>
      </w:tblGrid>
      <w:tr w:rsidR="00066161" w:rsidRPr="0035663C" w:rsidTr="002A6DC2">
        <w:tc>
          <w:tcPr>
            <w:tcW w:w="1440" w:type="dxa"/>
          </w:tcPr>
          <w:p w:rsidR="00066161" w:rsidRPr="0035663C" w:rsidRDefault="00066161" w:rsidP="00A23D5D">
            <w:pPr>
              <w:ind w:left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5663C">
              <w:rPr>
                <w:b/>
                <w:i/>
                <w:sz w:val="28"/>
                <w:szCs w:val="28"/>
                <w:u w:val="single"/>
              </w:rPr>
              <w:t>Policy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#</w:t>
            </w:r>
            <w:r w:rsidRPr="0035663C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100" w:type="dxa"/>
          </w:tcPr>
          <w:p w:rsidR="00066161" w:rsidRPr="0035663C" w:rsidRDefault="00066161" w:rsidP="00A23D5D">
            <w:pPr>
              <w:ind w:left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Policy Name</w:t>
            </w:r>
          </w:p>
        </w:tc>
        <w:tc>
          <w:tcPr>
            <w:tcW w:w="1350" w:type="dxa"/>
          </w:tcPr>
          <w:p w:rsidR="00066161" w:rsidRPr="0035663C" w:rsidRDefault="00066161" w:rsidP="00A23D5D">
            <w:pPr>
              <w:ind w:left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Initials</w:t>
            </w: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SVMS-01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Amendment of Data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SVMS-02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Compliance with Law and Policy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SVMS-03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Governance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51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SVMS-04</w:t>
            </w:r>
          </w:p>
        </w:tc>
        <w:tc>
          <w:tcPr>
            <w:tcW w:w="8100" w:type="dxa"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Individual Participation and Control of Information Available Through the HIE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SVMS-05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Information Subject to Special Protection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SVMS-06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Minimum Necessary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458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SVMS-07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Mitigation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45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SVMS-08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Notice of Privacy Practices &amp; Consent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77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SVMS-10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Uses and Disclosures of Health Information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SVMS-11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Workforce, Agents, and Contractors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SVMS-13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Authentication of System Users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45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SVMS-14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Auditing of Access to and Use of HIE Information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45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SVMS-15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Correctly Matching Patients to Their Records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32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SVMS-16</w:t>
            </w:r>
          </w:p>
        </w:tc>
        <w:tc>
          <w:tcPr>
            <w:tcW w:w="810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Breaches of Protected Health Information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413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SVMS-17</w:t>
            </w:r>
          </w:p>
        </w:tc>
        <w:tc>
          <w:tcPr>
            <w:tcW w:w="8100" w:type="dxa"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Policy, Procedure, Forms: Document Consistency and Audit Requirement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066161" w:rsidRPr="00066161" w:rsidTr="002A6DC2">
        <w:trPr>
          <w:trHeight w:val="300"/>
        </w:trPr>
        <w:tc>
          <w:tcPr>
            <w:tcW w:w="1440" w:type="dxa"/>
            <w:noWrap/>
            <w:vAlign w:val="center"/>
            <w:hideMark/>
          </w:tcPr>
          <w:p w:rsidR="00066161" w:rsidRPr="00066161" w:rsidRDefault="00066161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SVMS-18</w:t>
            </w:r>
          </w:p>
        </w:tc>
        <w:tc>
          <w:tcPr>
            <w:tcW w:w="8100" w:type="dxa"/>
            <w:vAlign w:val="center"/>
            <w:hideMark/>
          </w:tcPr>
          <w:p w:rsidR="00066161" w:rsidRPr="00066161" w:rsidRDefault="00066161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 w:rsidRPr="00066161"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System Security Practices</w:t>
            </w:r>
          </w:p>
        </w:tc>
        <w:tc>
          <w:tcPr>
            <w:tcW w:w="1350" w:type="dxa"/>
          </w:tcPr>
          <w:p w:rsidR="00066161" w:rsidRPr="00066161" w:rsidRDefault="00066161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157287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157287" w:rsidRDefault="00157287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SVMS-19</w:t>
            </w:r>
          </w:p>
        </w:tc>
        <w:tc>
          <w:tcPr>
            <w:tcW w:w="8100" w:type="dxa"/>
            <w:vAlign w:val="center"/>
          </w:tcPr>
          <w:p w:rsidR="00157287" w:rsidRPr="00066161" w:rsidRDefault="00157287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Conditions of Participation</w:t>
            </w:r>
          </w:p>
        </w:tc>
        <w:tc>
          <w:tcPr>
            <w:tcW w:w="1350" w:type="dxa"/>
          </w:tcPr>
          <w:p w:rsidR="00157287" w:rsidRPr="00066161" w:rsidRDefault="00157287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157287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157287" w:rsidRDefault="00157287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SVMS-20</w:t>
            </w:r>
          </w:p>
        </w:tc>
        <w:tc>
          <w:tcPr>
            <w:tcW w:w="8100" w:type="dxa"/>
            <w:vAlign w:val="center"/>
          </w:tcPr>
          <w:p w:rsidR="00157287" w:rsidRDefault="00157287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Quality of Displayed Data</w:t>
            </w:r>
          </w:p>
        </w:tc>
        <w:tc>
          <w:tcPr>
            <w:tcW w:w="1350" w:type="dxa"/>
          </w:tcPr>
          <w:p w:rsidR="00157287" w:rsidRPr="00066161" w:rsidRDefault="00157287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2A6DC2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2A6DC2" w:rsidRDefault="002A6DC2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SVMS-21</w:t>
            </w:r>
          </w:p>
        </w:tc>
        <w:tc>
          <w:tcPr>
            <w:tcW w:w="8100" w:type="dxa"/>
            <w:vAlign w:val="center"/>
          </w:tcPr>
          <w:p w:rsidR="002A6DC2" w:rsidRDefault="002A6DC2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Accounting Manual</w:t>
            </w:r>
          </w:p>
        </w:tc>
        <w:tc>
          <w:tcPr>
            <w:tcW w:w="1350" w:type="dxa"/>
          </w:tcPr>
          <w:p w:rsidR="002A6DC2" w:rsidRPr="00066161" w:rsidRDefault="002A6DC2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2A6DC2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2A6DC2" w:rsidRDefault="002A6DC2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SVMS-22</w:t>
            </w:r>
          </w:p>
        </w:tc>
        <w:tc>
          <w:tcPr>
            <w:tcW w:w="8100" w:type="dxa"/>
            <w:vAlign w:val="center"/>
          </w:tcPr>
          <w:p w:rsidR="002A6DC2" w:rsidRDefault="002A6DC2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Public Reporting and Transparency</w:t>
            </w:r>
          </w:p>
        </w:tc>
        <w:tc>
          <w:tcPr>
            <w:tcW w:w="1350" w:type="dxa"/>
          </w:tcPr>
          <w:p w:rsidR="002A6DC2" w:rsidRPr="00066161" w:rsidRDefault="002A6DC2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C16309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C16309" w:rsidRDefault="00C16309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SVMS-23</w:t>
            </w:r>
          </w:p>
        </w:tc>
        <w:tc>
          <w:tcPr>
            <w:tcW w:w="8100" w:type="dxa"/>
            <w:vAlign w:val="center"/>
          </w:tcPr>
          <w:p w:rsidR="00C16309" w:rsidRDefault="00C16309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Code of Ethics</w:t>
            </w:r>
          </w:p>
        </w:tc>
        <w:tc>
          <w:tcPr>
            <w:tcW w:w="1350" w:type="dxa"/>
          </w:tcPr>
          <w:p w:rsidR="00C16309" w:rsidRPr="00066161" w:rsidRDefault="00C16309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C16309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C16309" w:rsidRDefault="00C16309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SVMS-24</w:t>
            </w:r>
          </w:p>
        </w:tc>
        <w:tc>
          <w:tcPr>
            <w:tcW w:w="8100" w:type="dxa"/>
            <w:vAlign w:val="center"/>
          </w:tcPr>
          <w:p w:rsidR="00C16309" w:rsidRDefault="00C16309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Whistleblower Protection</w:t>
            </w:r>
          </w:p>
        </w:tc>
        <w:tc>
          <w:tcPr>
            <w:tcW w:w="1350" w:type="dxa"/>
          </w:tcPr>
          <w:p w:rsidR="00C16309" w:rsidRPr="00066161" w:rsidRDefault="00C16309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C16309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C16309" w:rsidRDefault="00C16309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SVMS-25</w:t>
            </w:r>
          </w:p>
        </w:tc>
        <w:tc>
          <w:tcPr>
            <w:tcW w:w="8100" w:type="dxa"/>
            <w:vAlign w:val="center"/>
          </w:tcPr>
          <w:p w:rsidR="00C16309" w:rsidRDefault="00C16309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Executive Compensation</w:t>
            </w:r>
          </w:p>
        </w:tc>
        <w:tc>
          <w:tcPr>
            <w:tcW w:w="1350" w:type="dxa"/>
          </w:tcPr>
          <w:p w:rsidR="00C16309" w:rsidRPr="00066161" w:rsidRDefault="00C16309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C16309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C16309" w:rsidRDefault="00C16309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SVMS-26</w:t>
            </w:r>
          </w:p>
        </w:tc>
        <w:tc>
          <w:tcPr>
            <w:tcW w:w="8100" w:type="dxa"/>
            <w:vAlign w:val="center"/>
          </w:tcPr>
          <w:p w:rsidR="00C16309" w:rsidRDefault="00C16309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Document Retention</w:t>
            </w:r>
          </w:p>
        </w:tc>
        <w:tc>
          <w:tcPr>
            <w:tcW w:w="1350" w:type="dxa"/>
          </w:tcPr>
          <w:p w:rsidR="00C16309" w:rsidRPr="00066161" w:rsidRDefault="00C16309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  <w:tr w:rsidR="00C16309" w:rsidRPr="00066161" w:rsidTr="002A6DC2">
        <w:trPr>
          <w:trHeight w:val="300"/>
        </w:trPr>
        <w:tc>
          <w:tcPr>
            <w:tcW w:w="1440" w:type="dxa"/>
            <w:noWrap/>
            <w:vAlign w:val="center"/>
          </w:tcPr>
          <w:p w:rsidR="00C16309" w:rsidRDefault="00C16309" w:rsidP="00066161">
            <w:pPr>
              <w:ind w:left="0" w:right="0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SVMS-27</w:t>
            </w:r>
          </w:p>
        </w:tc>
        <w:tc>
          <w:tcPr>
            <w:tcW w:w="8100" w:type="dxa"/>
            <w:vAlign w:val="center"/>
          </w:tcPr>
          <w:p w:rsidR="00C16309" w:rsidRDefault="00C16309" w:rsidP="00066161">
            <w:pPr>
              <w:ind w:left="0" w:right="0"/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</w:rPr>
              <w:t>Vault Access</w:t>
            </w:r>
          </w:p>
        </w:tc>
        <w:tc>
          <w:tcPr>
            <w:tcW w:w="1350" w:type="dxa"/>
          </w:tcPr>
          <w:p w:rsidR="00C16309" w:rsidRPr="00066161" w:rsidRDefault="00C16309" w:rsidP="00890EB1">
            <w:pPr>
              <w:ind w:left="0"/>
              <w:jc w:val="center"/>
              <w:rPr>
                <w:b/>
                <w:i/>
                <w:sz w:val="32"/>
                <w:szCs w:val="28"/>
                <w:u w:val="single"/>
              </w:rPr>
            </w:pPr>
          </w:p>
        </w:tc>
      </w:tr>
    </w:tbl>
    <w:p w:rsidR="00066161" w:rsidRDefault="00066161" w:rsidP="00066161">
      <w:pPr>
        <w:ind w:left="0"/>
      </w:pPr>
      <w:bookmarkStart w:id="0" w:name="_GoBack"/>
      <w:bookmarkEnd w:id="0"/>
    </w:p>
    <w:sectPr w:rsidR="00066161" w:rsidSect="002A6DC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1C" w:rsidRDefault="002F131C" w:rsidP="002F131C">
      <w:pPr>
        <w:spacing w:before="0"/>
      </w:pPr>
      <w:r>
        <w:separator/>
      </w:r>
    </w:p>
  </w:endnote>
  <w:endnote w:type="continuationSeparator" w:id="0">
    <w:p w:rsidR="002F131C" w:rsidRDefault="002F131C" w:rsidP="002F131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31C" w:rsidRDefault="00BE0D69" w:rsidP="002F131C">
    <w:pPr>
      <w:pStyle w:val="Footer"/>
      <w:ind w:left="-360"/>
    </w:pPr>
    <w:r>
      <w:t>SVMS-FORM-014</w:t>
    </w:r>
    <w:r w:rsidR="002F131C">
      <w:t>.00</w:t>
    </w:r>
    <w:r w:rsidR="002A6DC2">
      <w:t>4</w:t>
    </w:r>
    <w:r w:rsidR="002F131C">
      <w:t xml:space="preserve"> Policy Acknowledgement</w:t>
    </w:r>
    <w:r w:rsidR="002F131C">
      <w:tab/>
    </w:r>
    <w:r w:rsidR="002F131C">
      <w:tab/>
    </w:r>
    <w:r w:rsidR="002F131C" w:rsidRPr="00FD1538">
      <w:t xml:space="preserve">Page </w:t>
    </w:r>
    <w:r w:rsidR="002F131C" w:rsidRPr="00FD1538">
      <w:rPr>
        <w:bCs/>
      </w:rPr>
      <w:fldChar w:fldCharType="begin"/>
    </w:r>
    <w:r w:rsidR="002F131C" w:rsidRPr="00FD1538">
      <w:rPr>
        <w:bCs/>
      </w:rPr>
      <w:instrText xml:space="preserve"> PAGE </w:instrText>
    </w:r>
    <w:r w:rsidR="002F131C" w:rsidRPr="00FD1538">
      <w:rPr>
        <w:bCs/>
      </w:rPr>
      <w:fldChar w:fldCharType="separate"/>
    </w:r>
    <w:r w:rsidR="00C16309">
      <w:rPr>
        <w:bCs/>
        <w:noProof/>
      </w:rPr>
      <w:t>1</w:t>
    </w:r>
    <w:r w:rsidR="002F131C" w:rsidRPr="00FD1538">
      <w:rPr>
        <w:bCs/>
      </w:rPr>
      <w:fldChar w:fldCharType="end"/>
    </w:r>
    <w:r w:rsidR="002F131C" w:rsidRPr="00FD1538">
      <w:t xml:space="preserve"> of </w:t>
    </w:r>
    <w:r w:rsidR="002F131C" w:rsidRPr="00FD1538">
      <w:rPr>
        <w:bCs/>
      </w:rPr>
      <w:fldChar w:fldCharType="begin"/>
    </w:r>
    <w:r w:rsidR="002F131C" w:rsidRPr="00FD1538">
      <w:rPr>
        <w:bCs/>
      </w:rPr>
      <w:instrText xml:space="preserve"> NUMPAGES  </w:instrText>
    </w:r>
    <w:r w:rsidR="002F131C" w:rsidRPr="00FD1538">
      <w:rPr>
        <w:bCs/>
      </w:rPr>
      <w:fldChar w:fldCharType="separate"/>
    </w:r>
    <w:r w:rsidR="00C16309">
      <w:rPr>
        <w:bCs/>
        <w:noProof/>
      </w:rPr>
      <w:t>1</w:t>
    </w:r>
    <w:r w:rsidR="002F131C" w:rsidRPr="00FD153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1C" w:rsidRDefault="002F131C" w:rsidP="002F131C">
      <w:pPr>
        <w:spacing w:before="0"/>
      </w:pPr>
      <w:r>
        <w:separator/>
      </w:r>
    </w:p>
  </w:footnote>
  <w:footnote w:type="continuationSeparator" w:id="0">
    <w:p w:rsidR="002F131C" w:rsidRDefault="002F131C" w:rsidP="002F131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8E"/>
    <w:rsid w:val="00001340"/>
    <w:rsid w:val="00044C16"/>
    <w:rsid w:val="000603D7"/>
    <w:rsid w:val="00066161"/>
    <w:rsid w:val="00134DDD"/>
    <w:rsid w:val="0013663C"/>
    <w:rsid w:val="00157287"/>
    <w:rsid w:val="001668E3"/>
    <w:rsid w:val="001A1DC6"/>
    <w:rsid w:val="002A6DC2"/>
    <w:rsid w:val="002F131C"/>
    <w:rsid w:val="0030757F"/>
    <w:rsid w:val="00346474"/>
    <w:rsid w:val="0035663C"/>
    <w:rsid w:val="00387ECD"/>
    <w:rsid w:val="003C748E"/>
    <w:rsid w:val="004933D5"/>
    <w:rsid w:val="004A118E"/>
    <w:rsid w:val="00564C71"/>
    <w:rsid w:val="005E0608"/>
    <w:rsid w:val="005E7C93"/>
    <w:rsid w:val="005F468C"/>
    <w:rsid w:val="00616D3C"/>
    <w:rsid w:val="007B5CEB"/>
    <w:rsid w:val="007D1FD8"/>
    <w:rsid w:val="0080016C"/>
    <w:rsid w:val="00802D1A"/>
    <w:rsid w:val="0083252F"/>
    <w:rsid w:val="009126ED"/>
    <w:rsid w:val="009C37E6"/>
    <w:rsid w:val="00A23D5D"/>
    <w:rsid w:val="00A33CC8"/>
    <w:rsid w:val="00A62C75"/>
    <w:rsid w:val="00B74986"/>
    <w:rsid w:val="00BE0D69"/>
    <w:rsid w:val="00C0064A"/>
    <w:rsid w:val="00C16309"/>
    <w:rsid w:val="00D25999"/>
    <w:rsid w:val="00DD520C"/>
    <w:rsid w:val="00E00E69"/>
    <w:rsid w:val="00E8473A"/>
    <w:rsid w:val="00EA681B"/>
    <w:rsid w:val="00F57239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7408"/>
  <w15:docId w15:val="{3AB5DAC4-07A0-4181-A2F1-344E8C2D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"/>
        <w:ind w:left="461" w:right="144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7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D5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D5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F131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F131C"/>
  </w:style>
  <w:style w:type="paragraph" w:styleId="Footer">
    <w:name w:val="footer"/>
    <w:basedOn w:val="Normal"/>
    <w:link w:val="FooterChar"/>
    <w:uiPriority w:val="99"/>
    <w:unhideWhenUsed/>
    <w:rsid w:val="002F131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F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BCCF-CAF6-45F6-9550-CFCFB0CD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Seneca Healthcare District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Brownrigg</dc:creator>
  <cp:lastModifiedBy>SacValley MedShare</cp:lastModifiedBy>
  <cp:revision>3</cp:revision>
  <cp:lastPrinted>2015-12-11T22:02:00Z</cp:lastPrinted>
  <dcterms:created xsi:type="dcterms:W3CDTF">2017-05-11T16:08:00Z</dcterms:created>
  <dcterms:modified xsi:type="dcterms:W3CDTF">2017-05-11T16:09:00Z</dcterms:modified>
</cp:coreProperties>
</file>